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78" w:rsidRDefault="00C76178" w:rsidP="00C7617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201F1E"/>
          <w:bdr w:val="none" w:sz="0" w:space="0" w:color="auto" w:frame="1"/>
        </w:rPr>
        <w:t>Finance Committee</w:t>
      </w:r>
      <w:r>
        <w:rPr>
          <w:rFonts w:ascii="inherit" w:hAnsi="inherit" w:cs="Calibri"/>
          <w:color w:val="201F1E"/>
          <w:bdr w:val="none" w:sz="0" w:space="0" w:color="auto" w:frame="1"/>
        </w:rPr>
        <w:t>  </w:t>
      </w:r>
    </w:p>
    <w:p w:rsidR="00C76178" w:rsidRDefault="00C76178" w:rsidP="00C7617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The Finance Committee is chaired by the Treasurer. Members of the committee shall be thoroughly familiar with the organization’s work and have expertise in financial matters. The Finance Committee shall meet monthly or as needs dictate.  </w:t>
      </w:r>
    </w:p>
    <w:p w:rsidR="00C76178" w:rsidRDefault="00C76178" w:rsidP="00C7617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  </w:t>
      </w:r>
    </w:p>
    <w:p w:rsidR="00C76178" w:rsidRDefault="00C76178" w:rsidP="00C7617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Responsibilities include</w:t>
      </w:r>
      <w:proofErr w:type="gramStart"/>
      <w:r>
        <w:rPr>
          <w:rFonts w:ascii="inherit" w:hAnsi="inherit" w:cs="Calibri"/>
          <w:color w:val="201F1E"/>
          <w:bdr w:val="none" w:sz="0" w:space="0" w:color="auto" w:frame="1"/>
        </w:rPr>
        <w:t>: </w:t>
      </w:r>
      <w:proofErr w:type="gramEnd"/>
      <w:r>
        <w:rPr>
          <w:rFonts w:ascii="inherit" w:hAnsi="inherit" w:cs="Calibri"/>
          <w:color w:val="201F1E"/>
          <w:bdr w:val="none" w:sz="0" w:space="0" w:color="auto" w:frame="1"/>
        </w:rPr>
        <w:t> </w:t>
      </w:r>
    </w:p>
    <w:p w:rsidR="00C76178" w:rsidRDefault="00C76178" w:rsidP="00C76178">
      <w:pPr>
        <w:pStyle w:val="NormalWeb"/>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Fonts w:ascii="inherit" w:hAnsi="inherit" w:cs="Calibri"/>
          <w:color w:val="201F1E"/>
          <w:bdr w:val="none" w:sz="0" w:space="0" w:color="auto" w:frame="1"/>
        </w:rPr>
        <w:t>To</w:t>
      </w:r>
      <w:proofErr w:type="gramEnd"/>
      <w:r>
        <w:rPr>
          <w:rFonts w:ascii="inherit" w:hAnsi="inherit" w:cs="Calibri"/>
          <w:color w:val="201F1E"/>
          <w:bdr w:val="none" w:sz="0" w:space="0" w:color="auto" w:frame="1"/>
        </w:rPr>
        <w:t xml:space="preserve"> develop and recommend policy with regards to fiscal responsibilities of the organization.  </w:t>
      </w:r>
    </w:p>
    <w:p w:rsidR="00C76178" w:rsidRDefault="00C76178" w:rsidP="00C76178">
      <w:pPr>
        <w:pStyle w:val="NormalWeb"/>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Fonts w:ascii="inherit" w:hAnsi="inherit" w:cs="Calibri"/>
          <w:color w:val="201F1E"/>
          <w:bdr w:val="none" w:sz="0" w:space="0" w:color="auto" w:frame="1"/>
        </w:rPr>
        <w:t>To</w:t>
      </w:r>
      <w:proofErr w:type="gramEnd"/>
      <w:r>
        <w:rPr>
          <w:rFonts w:ascii="inherit" w:hAnsi="inherit" w:cs="Calibri"/>
          <w:color w:val="201F1E"/>
          <w:bdr w:val="none" w:sz="0" w:space="0" w:color="auto" w:frame="1"/>
        </w:rPr>
        <w:t xml:space="preserve"> review budgets developed and submitted by the Executive Director and recommend an annual budget of the organization for </w:t>
      </w:r>
      <w:r>
        <w:rPr>
          <w:rStyle w:val="markdcojm95ky"/>
          <w:rFonts w:ascii="inherit" w:hAnsi="inherit" w:cs="Calibri"/>
          <w:color w:val="201F1E"/>
          <w:bdr w:val="none" w:sz="0" w:space="0" w:color="auto" w:frame="1"/>
        </w:rPr>
        <w:t>Board</w:t>
      </w:r>
      <w:r>
        <w:rPr>
          <w:rFonts w:ascii="inherit" w:hAnsi="inherit" w:cs="Calibri"/>
          <w:color w:val="201F1E"/>
          <w:bdr w:val="none" w:sz="0" w:space="0" w:color="auto" w:frame="1"/>
        </w:rPr>
        <w:t> review and approval.  </w:t>
      </w:r>
    </w:p>
    <w:p w:rsidR="00C76178" w:rsidRDefault="00C76178" w:rsidP="00C76178">
      <w:pPr>
        <w:pStyle w:val="NormalWeb"/>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Fonts w:ascii="inherit" w:hAnsi="inherit" w:cs="Calibri"/>
          <w:color w:val="201F1E"/>
          <w:bdr w:val="none" w:sz="0" w:space="0" w:color="auto" w:frame="1"/>
        </w:rPr>
        <w:t>To</w:t>
      </w:r>
      <w:proofErr w:type="gramEnd"/>
      <w:r>
        <w:rPr>
          <w:rFonts w:ascii="inherit" w:hAnsi="inherit" w:cs="Calibri"/>
          <w:color w:val="201F1E"/>
          <w:bdr w:val="none" w:sz="0" w:space="0" w:color="auto" w:frame="1"/>
        </w:rPr>
        <w:t xml:space="preserve"> monitor all financial statements and report financial status of the organization.  </w:t>
      </w:r>
    </w:p>
    <w:p w:rsidR="00C76178" w:rsidRDefault="00C76178" w:rsidP="00C76178">
      <w:pPr>
        <w:pStyle w:val="NormalWeb"/>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Fonts w:ascii="inherit" w:hAnsi="inherit" w:cs="Calibri"/>
          <w:color w:val="201F1E"/>
          <w:bdr w:val="none" w:sz="0" w:space="0" w:color="auto" w:frame="1"/>
        </w:rPr>
        <w:t>To</w:t>
      </w:r>
      <w:proofErr w:type="gramEnd"/>
      <w:r>
        <w:rPr>
          <w:rFonts w:ascii="inherit" w:hAnsi="inherit" w:cs="Calibri"/>
          <w:color w:val="201F1E"/>
          <w:bdr w:val="none" w:sz="0" w:space="0" w:color="auto" w:frame="1"/>
        </w:rPr>
        <w:t xml:space="preserve"> review and recommend budget revisions when necessary and appropriate.  </w:t>
      </w:r>
    </w:p>
    <w:p w:rsidR="00C76178" w:rsidRDefault="00C76178" w:rsidP="00C76178">
      <w:pPr>
        <w:pStyle w:val="NormalWeb"/>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Fonts w:ascii="inherit" w:hAnsi="inherit" w:cs="Calibri"/>
          <w:color w:val="201F1E"/>
          <w:bdr w:val="none" w:sz="0" w:space="0" w:color="auto" w:frame="1"/>
        </w:rPr>
        <w:t>To</w:t>
      </w:r>
      <w:proofErr w:type="gramEnd"/>
      <w:r>
        <w:rPr>
          <w:rFonts w:ascii="inherit" w:hAnsi="inherit" w:cs="Calibri"/>
          <w:color w:val="201F1E"/>
          <w:bdr w:val="none" w:sz="0" w:space="0" w:color="auto" w:frame="1"/>
        </w:rPr>
        <w:t xml:space="preserve"> review (in advance of the full </w:t>
      </w:r>
      <w:r>
        <w:rPr>
          <w:rStyle w:val="markdcojm95ky"/>
          <w:rFonts w:ascii="inherit" w:hAnsi="inherit" w:cs="Calibri"/>
          <w:color w:val="201F1E"/>
          <w:bdr w:val="none" w:sz="0" w:space="0" w:color="auto" w:frame="1"/>
        </w:rPr>
        <w:t>Board</w:t>
      </w:r>
      <w:r>
        <w:rPr>
          <w:rFonts w:ascii="inherit" w:hAnsi="inherit" w:cs="Calibri"/>
          <w:color w:val="201F1E"/>
          <w:bdr w:val="none" w:sz="0" w:space="0" w:color="auto" w:frame="1"/>
        </w:rPr>
        <w:t>) the annual audit prepared by the Certified Public Accountant, and makes any recommendations deemed necessary and to schedule a presentation of the annual audit by the CPA to the full </w:t>
      </w:r>
      <w:r>
        <w:rPr>
          <w:rStyle w:val="markdcojm95ky"/>
          <w:rFonts w:ascii="inherit" w:hAnsi="inherit" w:cs="Calibri"/>
          <w:color w:val="201F1E"/>
          <w:bdr w:val="none" w:sz="0" w:space="0" w:color="auto" w:frame="1"/>
        </w:rPr>
        <w:t>Board</w:t>
      </w:r>
      <w:r>
        <w:rPr>
          <w:rFonts w:ascii="inherit" w:hAnsi="inherit" w:cs="Calibri"/>
          <w:color w:val="201F1E"/>
          <w:bdr w:val="none" w:sz="0" w:space="0" w:color="auto" w:frame="1"/>
        </w:rPr>
        <w:t>.  </w:t>
      </w:r>
    </w:p>
    <w:p w:rsidR="00C76178" w:rsidRDefault="00C76178" w:rsidP="00C76178">
      <w:pPr>
        <w:pStyle w:val="NormalWeb"/>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Fonts w:ascii="inherit" w:hAnsi="inherit" w:cs="Calibri"/>
          <w:color w:val="201F1E"/>
          <w:bdr w:val="none" w:sz="0" w:space="0" w:color="auto" w:frame="1"/>
        </w:rPr>
        <w:t>To</w:t>
      </w:r>
      <w:proofErr w:type="gramEnd"/>
      <w:r>
        <w:rPr>
          <w:rFonts w:ascii="inherit" w:hAnsi="inherit" w:cs="Calibri"/>
          <w:color w:val="201F1E"/>
          <w:bdr w:val="none" w:sz="0" w:space="0" w:color="auto" w:frame="1"/>
        </w:rPr>
        <w:t xml:space="preserve"> monitor any corrective action plans in response to the audit management letter.  </w:t>
      </w:r>
    </w:p>
    <w:p w:rsidR="00C76178" w:rsidRDefault="00C76178" w:rsidP="00C76178">
      <w:pPr>
        <w:pStyle w:val="NormalWeb"/>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Fonts w:ascii="inherit" w:hAnsi="inherit" w:cs="Calibri"/>
          <w:color w:val="201F1E"/>
          <w:bdr w:val="none" w:sz="0" w:space="0" w:color="auto" w:frame="1"/>
        </w:rPr>
        <w:t>To</w:t>
      </w:r>
      <w:proofErr w:type="gramEnd"/>
      <w:r>
        <w:rPr>
          <w:rFonts w:ascii="inherit" w:hAnsi="inherit" w:cs="Calibri"/>
          <w:color w:val="201F1E"/>
          <w:bdr w:val="none" w:sz="0" w:space="0" w:color="auto" w:frame="1"/>
        </w:rPr>
        <w:t xml:space="preserve"> develop and monitor investment policy and make recommendations to the </w:t>
      </w:r>
      <w:r>
        <w:rPr>
          <w:rStyle w:val="markdcojm95ky"/>
          <w:rFonts w:ascii="inherit" w:hAnsi="inherit" w:cs="Calibri"/>
          <w:color w:val="201F1E"/>
          <w:bdr w:val="none" w:sz="0" w:space="0" w:color="auto" w:frame="1"/>
        </w:rPr>
        <w:t>Board</w:t>
      </w:r>
      <w:r>
        <w:rPr>
          <w:rFonts w:ascii="inherit" w:hAnsi="inherit" w:cs="Calibri"/>
          <w:color w:val="201F1E"/>
          <w:bdr w:val="none" w:sz="0" w:space="0" w:color="auto" w:frame="1"/>
        </w:rPr>
        <w:t>.  </w:t>
      </w:r>
    </w:p>
    <w:p w:rsidR="00C76178" w:rsidRDefault="00C76178" w:rsidP="00C76178">
      <w:pPr>
        <w:pStyle w:val="NormalWeb"/>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Fonts w:ascii="inherit" w:hAnsi="inherit" w:cs="Calibri"/>
          <w:color w:val="201F1E"/>
          <w:bdr w:val="none" w:sz="0" w:space="0" w:color="auto" w:frame="1"/>
        </w:rPr>
        <w:t>To</w:t>
      </w:r>
      <w:proofErr w:type="gramEnd"/>
      <w:r>
        <w:rPr>
          <w:rFonts w:ascii="inherit" w:hAnsi="inherit" w:cs="Calibri"/>
          <w:color w:val="201F1E"/>
          <w:bdr w:val="none" w:sz="0" w:space="0" w:color="auto" w:frame="1"/>
        </w:rPr>
        <w:t xml:space="preserve"> annually review any long-term investment and make a full report to the </w:t>
      </w:r>
      <w:r>
        <w:rPr>
          <w:rStyle w:val="markdcojm95ky"/>
          <w:rFonts w:ascii="inherit" w:hAnsi="inherit" w:cs="Calibri"/>
          <w:color w:val="201F1E"/>
          <w:bdr w:val="none" w:sz="0" w:space="0" w:color="auto" w:frame="1"/>
        </w:rPr>
        <w:t>Board</w:t>
      </w:r>
      <w:r>
        <w:rPr>
          <w:rFonts w:ascii="inherit" w:hAnsi="inherit" w:cs="Calibri"/>
          <w:color w:val="201F1E"/>
          <w:bdr w:val="none" w:sz="0" w:space="0" w:color="auto" w:frame="1"/>
        </w:rPr>
        <w:t>.  </w:t>
      </w:r>
    </w:p>
    <w:p w:rsidR="00FE2443" w:rsidRDefault="00C76178">
      <w:bookmarkStart w:id="0" w:name="_GoBack"/>
      <w:bookmarkEnd w:id="0"/>
    </w:p>
    <w:sectPr w:rsidR="00FE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78"/>
    <w:rsid w:val="00062CDE"/>
    <w:rsid w:val="00C607A9"/>
    <w:rsid w:val="00C7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D3AC8-88A1-4A35-83FE-2242F040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cojm95ky">
    <w:name w:val="markdcojm95ky"/>
    <w:basedOn w:val="DefaultParagraphFont"/>
    <w:rsid w:val="00C7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1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1</cp:revision>
  <dcterms:created xsi:type="dcterms:W3CDTF">2021-02-09T19:03:00Z</dcterms:created>
  <dcterms:modified xsi:type="dcterms:W3CDTF">2021-02-09T19:04:00Z</dcterms:modified>
</cp:coreProperties>
</file>