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r>
        <w:rPr>
          <w:rStyle w:val="xnormaltextrun1"/>
          <w:rFonts w:ascii="inherit" w:hAnsi="inherit" w:cs="Calibri"/>
          <w:b/>
          <w:bCs/>
          <w:color w:val="201F1E"/>
          <w:bdr w:val="none" w:sz="0" w:space="0" w:color="auto" w:frame="1"/>
        </w:rPr>
        <w:t>Board Recruitment and Nominating Committee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bookmarkEnd w:id="0"/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The Board Recruitment and Nominating Committee meets at least 6 times per year.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Responsibilities include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: </w:t>
      </w:r>
      <w:proofErr w:type="gramEnd"/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recruit new board members reflecting the diversity of the service area of EVE, Inc.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solicit applications from prospective board members for consideration.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annually assess gaps in representation, skills, and influence, and recruit a diverse candidate pool to ensure the needs of the agency are met.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review the board member candidate pool according to “Board representation/skills assessment grid” and Criteria for Participation as a Board Member.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identify and make recommendations for new members to the Board of Directors based on assessment and qualification of applicants.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conduct board orientation which includes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a highlight of client characteristics (</w:t>
      </w:r>
      <w:proofErr w:type="spell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I.e</w:t>
      </w:r>
      <w:proofErr w:type="spell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, age range, number of children)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current shelter census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general overview of programs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contents in Board Manual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explanation of role of Board vs the Executive Director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expectation that board members come prepared for each board or committee meeting which includes at a minimum reviewing all documents provided prior to a meeting and reports on all activities assigned at prior meetings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a highlight of committees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financial matters: fiscal year period, overall operational costs, deficits/surplus, audits, and other critical issues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annual fund development goals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ourier New" w:hAnsi="Courier New" w:cs="Courier New"/>
          <w:color w:val="201F1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 Handouts: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Board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Manual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Annual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Fund Development Goals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Contact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information list for Executive Director and Board Members 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Strategic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Plan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List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of organizations with which EVE has a collaborative relationship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Glossary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including a list of key acronyms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Meeting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 schedule for committees and the Board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  <w:bdr w:val="none" w:sz="0" w:space="0" w:color="auto" w:frame="1"/>
        </w:rPr>
        <w:t></w:t>
      </w:r>
      <w:proofErr w:type="gramStart"/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Annual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Reports (i.e., shelter inspection, audit)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educate new board members on diversity of the service area of EVE, Inc.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 implement annual Board training for new Board members, monitor fulfillment of Eve, Inc. volunteer training attendance, and to work with the Executive Director to provide on-going training opportunities for Board members.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annually distribute and collect “Statement of Commitment” forms from all Board members.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To ensure the Board President 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conducts annual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Board member evaluation and report results.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lastRenderedPageBreak/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 evaluate Board member attendance and implement policy regarding removal from Board as stated in by-laws of EVE, Inc., and to report any actions regarding this policy to the full Board.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annually oversee the nomination of officers, in consultation with the Executive Director. This includes offering the opportunity to all Board members, developing a slate of officers in consultation with the Executive Director to recommend to the Board of Directors. The recommended slate is brought to the Board for approval.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work with the Executive Committee and Executive Director and biennially plan for board leadership succession.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ensure Board Monitoring Calendar activities are completed on time.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review and update organizational policy, By-laws, and Governance Policies as necessary, and to ensure the Board Governance policies are implemented.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BD22E6" w:rsidRDefault="00BD22E6" w:rsidP="00BD22E6">
      <w:pPr>
        <w:pStyle w:val="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Style w:val="xnormaltextrun1"/>
          <w:rFonts w:ascii="inherit" w:hAnsi="inherit" w:cs="Calibri"/>
          <w:color w:val="201F1E"/>
          <w:bdr w:val="none" w:sz="0" w:space="0" w:color="auto" w:frame="1"/>
        </w:rPr>
        <w:t xml:space="preserve"> review and report any policy changes needed for the Standard Operating Procedures Manual. </w:t>
      </w: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:rsidR="00FE2443" w:rsidRDefault="00BD22E6"/>
    <w:sectPr w:rsidR="00FE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6"/>
    <w:rsid w:val="00062CDE"/>
    <w:rsid w:val="00BD22E6"/>
    <w:rsid w:val="00C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7C199-7910-4DFF-95C4-63F65E5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D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1">
    <w:name w:val="x_normaltextrun1"/>
    <w:basedOn w:val="DefaultParagraphFont"/>
    <w:rsid w:val="00BD22E6"/>
  </w:style>
  <w:style w:type="character" w:customStyle="1" w:styleId="xeop">
    <w:name w:val="x_eop"/>
    <w:basedOn w:val="DefaultParagraphFont"/>
    <w:rsid w:val="00BD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Davidson</cp:lastModifiedBy>
  <cp:revision>1</cp:revision>
  <dcterms:created xsi:type="dcterms:W3CDTF">2021-02-09T18:55:00Z</dcterms:created>
  <dcterms:modified xsi:type="dcterms:W3CDTF">2021-02-09T18:56:00Z</dcterms:modified>
</cp:coreProperties>
</file>