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bdr w:val="none" w:sz="0" w:space="0" w:color="auto" w:frame="1"/>
        </w:rPr>
        <w:t>Fund Development Committee</w:t>
      </w:r>
      <w:r>
        <w:rPr>
          <w:rFonts w:ascii="inherit" w:hAnsi="inherit" w:cs="Calibri"/>
          <w:color w:val="201F1E"/>
          <w:bdr w:val="none" w:sz="0" w:space="0" w:color="auto" w:frame="1"/>
        </w:rPr>
        <w:t>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The Fund Development Committee is chaired by the Fund Development Chair and may consist of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Members, staff and outside experts and volunteers interested in participating in developing EVE, Inc.’s general operating funds and planned giving opportunities. The Fund Development shall meet at least 4 times per year, with additional meetings related to implementation of specific special events. 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Responsibilities include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: 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>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work with the Executive Committee to establish guidelines for minimum financial contributions for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Members.  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develop, implement and review an annual Fund Development Plan.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present the Fund Development Plan to the Finance Committee of the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in July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recruit leadership for Fund Development events.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ensure that every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Member makes (or solicits) an annual financial contribution.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recruit and encourage volunteers to participate in Fund Development events.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r>
        <w:rPr>
          <w:rFonts w:ascii="inherit" w:hAnsi="inherit" w:cs="Calibri"/>
          <w:color w:val="201F1E"/>
          <w:bdr w:val="none" w:sz="0" w:space="0" w:color="auto" w:frame="1"/>
        </w:rPr>
        <w:t>To approve any requests for Charitable Gaming Division licenses needed for fundraising activity which are to be conducted by EVE, Inc. (Note: The Committee Chair will be designated as the Event Chair on the license applications which are to be signed by the officers designated in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Governance Policy.)  </w:t>
      </w:r>
    </w:p>
    <w:p w:rsidR="00921E5C" w:rsidRDefault="00921E5C" w:rsidP="00921E5C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0"/>
          <w:szCs w:val="20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</w:t>
      </w:r>
      <w:proofErr w:type="gramStart"/>
      <w:r>
        <w:rPr>
          <w:rFonts w:ascii="inherit" w:hAnsi="inherit" w:cs="Calibri"/>
          <w:color w:val="201F1E"/>
          <w:bdr w:val="none" w:sz="0" w:space="0" w:color="auto" w:frame="1"/>
        </w:rPr>
        <w:t>To</w:t>
      </w:r>
      <w:proofErr w:type="gramEnd"/>
      <w:r>
        <w:rPr>
          <w:rFonts w:ascii="inherit" w:hAnsi="inherit" w:cs="Calibri"/>
          <w:color w:val="201F1E"/>
          <w:bdr w:val="none" w:sz="0" w:space="0" w:color="auto" w:frame="1"/>
        </w:rPr>
        <w:t xml:space="preserve"> review any request for Michigan Liquor Control Commission licenses for EVE, Inc. activities and approves for submission to the EVE, Inc. </w:t>
      </w:r>
      <w:r>
        <w:rPr>
          <w:rStyle w:val="markoul3ewe1f"/>
          <w:rFonts w:ascii="inherit" w:hAnsi="inherit" w:cs="Calibri"/>
          <w:color w:val="201F1E"/>
          <w:bdr w:val="none" w:sz="0" w:space="0" w:color="auto" w:frame="1"/>
        </w:rPr>
        <w:t>Board</w:t>
      </w:r>
      <w:r>
        <w:rPr>
          <w:rFonts w:ascii="inherit" w:hAnsi="inherit" w:cs="Calibri"/>
          <w:color w:val="201F1E"/>
          <w:bdr w:val="none" w:sz="0" w:space="0" w:color="auto" w:frame="1"/>
        </w:rPr>
        <w:t> for final approval to pursue an application for the license.  </w:t>
      </w:r>
    </w:p>
    <w:p w:rsidR="00FE2443" w:rsidRDefault="00921E5C">
      <w:bookmarkStart w:id="0" w:name="_GoBack"/>
      <w:bookmarkEnd w:id="0"/>
    </w:p>
    <w:sectPr w:rsidR="00FE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C"/>
    <w:rsid w:val="00062CDE"/>
    <w:rsid w:val="00921E5C"/>
    <w:rsid w:val="00C6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1B30C-FBED-4F1C-8B1C-32AFD332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oul3ewe1f">
    <w:name w:val="markoul3ewe1f"/>
    <w:basedOn w:val="DefaultParagraphFont"/>
    <w:rsid w:val="0092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Davidson</dc:creator>
  <cp:keywords/>
  <dc:description/>
  <cp:lastModifiedBy>Leah Davidson</cp:lastModifiedBy>
  <cp:revision>1</cp:revision>
  <dcterms:created xsi:type="dcterms:W3CDTF">2021-02-09T18:58:00Z</dcterms:created>
  <dcterms:modified xsi:type="dcterms:W3CDTF">2021-02-09T18:58:00Z</dcterms:modified>
</cp:coreProperties>
</file>